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2"/>
        <w:spacing w:before="234"/>
        <w:ind w:right="37"/>
      </w:pPr>
      <w:r>
        <w:rPr>
          <w:w w:val="105"/>
        </w:rPr>
        <w:t>东风天龙 18.3 方抑尘车产品介绍</w:t>
      </w:r>
    </w:p>
    <w:p>
      <w:pPr>
        <w:pStyle w:val="5"/>
        <w:rPr>
          <w:rFonts w:ascii="PMingLiU"/>
          <w:sz w:val="20"/>
        </w:rPr>
      </w:pPr>
    </w:p>
    <w:p>
      <w:pPr>
        <w:pStyle w:val="5"/>
        <w:rPr>
          <w:rFonts w:ascii="PMingLiU"/>
          <w:sz w:val="20"/>
        </w:rPr>
      </w:pPr>
    </w:p>
    <w:p>
      <w:pPr>
        <w:pStyle w:val="5"/>
        <w:rPr>
          <w:rFonts w:ascii="PMingLiU"/>
          <w:sz w:val="20"/>
        </w:rPr>
      </w:pPr>
    </w:p>
    <w:p>
      <w:pPr>
        <w:pStyle w:val="5"/>
        <w:rPr>
          <w:rFonts w:ascii="PMingLiU"/>
          <w:sz w:val="20"/>
        </w:rPr>
      </w:pPr>
    </w:p>
    <w:p>
      <w:pPr>
        <w:pStyle w:val="5"/>
        <w:rPr>
          <w:rFonts w:ascii="PMingLiU"/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158115</wp:posOffset>
            </wp:positionH>
            <wp:positionV relativeFrom="paragraph">
              <wp:posOffset>131445</wp:posOffset>
            </wp:positionV>
            <wp:extent cx="7162165" cy="477583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964" cy="477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PMingLiU"/>
          <w:sz w:val="12"/>
        </w:rPr>
        <w:sectPr>
          <w:headerReference r:id="rId5" w:type="default"/>
          <w:type w:val="continuous"/>
          <w:pgSz w:w="11910" w:h="16840"/>
          <w:pgMar w:top="2080" w:right="100" w:bottom="280" w:left="140" w:header="871" w:footer="720" w:gutter="0"/>
          <w:cols w:space="720" w:num="1"/>
        </w:sectPr>
      </w:pPr>
    </w:p>
    <w:p>
      <w:pPr>
        <w:pStyle w:val="5"/>
        <w:rPr>
          <w:rFonts w:ascii="PMingLiU"/>
          <w:sz w:val="20"/>
        </w:rPr>
      </w:pPr>
    </w:p>
    <w:p>
      <w:pPr>
        <w:pStyle w:val="5"/>
        <w:rPr>
          <w:rFonts w:ascii="PMingLiU"/>
          <w:sz w:val="20"/>
        </w:rPr>
      </w:pPr>
    </w:p>
    <w:p>
      <w:pPr>
        <w:pStyle w:val="5"/>
        <w:spacing w:before="5"/>
        <w:rPr>
          <w:rFonts w:ascii="PMingLiU"/>
          <w:sz w:val="26"/>
        </w:rPr>
      </w:pPr>
    </w:p>
    <w:p>
      <w:pPr>
        <w:spacing w:before="62"/>
        <w:ind w:left="0" w:right="37" w:firstLine="0"/>
        <w:jc w:val="center"/>
        <w:rPr>
          <w:rFonts w:hint="eastAsia" w:ascii="PMingLiU" w:eastAsia="PMingLiU"/>
          <w:sz w:val="52"/>
        </w:rPr>
      </w:pPr>
      <w:r>
        <w:rPr>
          <w:rFonts w:hint="eastAsia" w:ascii="PMingLiU" w:eastAsia="PMingLiU"/>
          <w:color w:val="FF0000"/>
          <w:w w:val="105"/>
          <w:sz w:val="52"/>
        </w:rPr>
        <w:t>一. 产品简述</w:t>
      </w:r>
    </w:p>
    <w:p>
      <w:pPr>
        <w:pStyle w:val="5"/>
        <w:spacing w:before="205" w:line="364" w:lineRule="auto"/>
        <w:ind w:left="992" w:right="1033" w:firstLine="640"/>
        <w:jc w:val="both"/>
      </w:pPr>
      <w:r>
        <w:t>抑尘车又称为绿化喷洒车、多功能洒水车、园林绿化洒水车。抑</w:t>
      </w:r>
      <w:r>
        <w:rPr>
          <w:spacing w:val="-8"/>
          <w:w w:val="95"/>
        </w:rPr>
        <w:t xml:space="preserve">尘车适合于各种路面冲洗，树木、绿化带、草坪绿化,道路、厂矿企业  </w:t>
      </w:r>
      <w:r>
        <w:rPr>
          <w:spacing w:val="-8"/>
        </w:rPr>
        <w:t>施工建设，高空建筑冲洗。抑尘也可以作为运水车使用，最常见的车型有绿化喷洒车、多功能洒水车、绿化洒水车几大类。</w:t>
      </w:r>
    </w:p>
    <w:p>
      <w:pPr>
        <w:pStyle w:val="5"/>
        <w:spacing w:before="3" w:line="364" w:lineRule="auto"/>
        <w:ind w:left="992" w:right="872" w:firstLine="640"/>
      </w:pPr>
      <w:r>
        <w:t>我公司产品标配前喷（鸭嘴）、后冲、后洒、侧喷、后置式工作</w:t>
      </w:r>
      <w:r>
        <w:rPr>
          <w:spacing w:val="5"/>
        </w:rPr>
        <w:t>平台，平台上配置绿化水炮（</w:t>
      </w:r>
      <w:r>
        <w:rPr>
          <w:spacing w:val="-42"/>
        </w:rPr>
        <w:t xml:space="preserve">可 </w:t>
      </w:r>
      <w:r>
        <w:rPr>
          <w:spacing w:val="2"/>
        </w:rPr>
        <w:t>360°旋转，既可以调成柱状，也可以调成雾状，更可以调成直冲状、大雨、中雨、小雨、毛毛雨），配</w:t>
      </w:r>
      <w:r>
        <w:rPr>
          <w:spacing w:val="-13"/>
          <w:w w:val="99"/>
        </w:rPr>
        <w:t>备优质大功率专用洒水泵</w:t>
      </w:r>
      <w:r>
        <w:rPr>
          <w:spacing w:val="2"/>
          <w:w w:val="99"/>
        </w:rPr>
        <w:t>（</w:t>
      </w:r>
      <w:r>
        <w:rPr>
          <w:spacing w:val="-12"/>
          <w:w w:val="99"/>
        </w:rPr>
        <w:t>可自吸自排，可从河里或池塘抽水到罐体</w:t>
      </w:r>
      <w:r>
        <w:rPr>
          <w:spacing w:val="-159"/>
          <w:w w:val="99"/>
        </w:rPr>
        <w:t>）</w:t>
      </w:r>
      <w:r>
        <w:rPr>
          <w:w w:val="99"/>
        </w:rPr>
        <w:t>，</w:t>
      </w:r>
      <w:r>
        <w:rPr>
          <w:spacing w:val="-10"/>
        </w:rPr>
        <w:t>取力器，杂物过滤网，消防接口,自流球阀系统、取力器、球阀、滤网</w:t>
      </w:r>
      <w:r>
        <w:rPr>
          <w:spacing w:val="-15"/>
        </w:rPr>
        <w:t>均为国家标准产品，主管道加粗，法兰垫、法兰盘加厚，大通径球阀。整体具备性能优良安全可靠、效率高、流量大、维修方便等特点。</w:t>
      </w: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2080" w:right="100" w:bottom="280" w:left="140" w:header="871" w:footer="0" w:gutter="0"/>
          <w:cols w:space="720" w:num="1"/>
        </w:sectPr>
      </w:pPr>
    </w:p>
    <w:p>
      <w:pPr>
        <w:pStyle w:val="5"/>
      </w:pPr>
    </w:p>
    <w:p>
      <w:pPr>
        <w:pStyle w:val="5"/>
        <w:spacing w:before="7"/>
        <w:rPr>
          <w:sz w:val="45"/>
        </w:rPr>
      </w:pPr>
    </w:p>
    <w:p>
      <w:pPr>
        <w:pStyle w:val="4"/>
        <w:numPr>
          <w:ilvl w:val="0"/>
          <w:numId w:val="1"/>
        </w:numPr>
        <w:tabs>
          <w:tab w:val="left" w:pos="1317"/>
        </w:tabs>
        <w:spacing w:before="1" w:after="0" w:line="240" w:lineRule="auto"/>
        <w:ind w:left="1316" w:right="0" w:hanging="325"/>
        <w:jc w:val="left"/>
      </w:pPr>
      <w:r>
        <w:t>底盘配置：</w:t>
      </w:r>
    </w:p>
    <w:p>
      <w:pPr>
        <w:spacing w:before="62"/>
        <w:ind w:left="992" w:right="0" w:firstLine="0"/>
        <w:jc w:val="left"/>
        <w:rPr>
          <w:rFonts w:hint="eastAsia" w:ascii="PMingLiU" w:eastAsia="PMingLiU"/>
          <w:sz w:val="52"/>
        </w:rPr>
      </w:pPr>
      <w:r>
        <w:br w:type="column"/>
      </w:r>
      <w:r>
        <w:rPr>
          <w:rFonts w:hint="eastAsia" w:ascii="PMingLiU" w:eastAsia="PMingLiU"/>
          <w:color w:val="FF0000"/>
          <w:sz w:val="52"/>
        </w:rPr>
        <w:t>二．产品配置</w:t>
      </w:r>
    </w:p>
    <w:p>
      <w:pPr>
        <w:spacing w:after="0"/>
        <w:jc w:val="left"/>
        <w:rPr>
          <w:rFonts w:hint="eastAsia" w:ascii="PMingLiU" w:eastAsia="PMingLiU"/>
          <w:sz w:val="52"/>
        </w:rPr>
        <w:sectPr>
          <w:type w:val="continuous"/>
          <w:pgSz w:w="11910" w:h="16840"/>
          <w:pgMar w:top="2080" w:right="100" w:bottom="280" w:left="140" w:header="720" w:footer="720" w:gutter="0"/>
          <w:cols w:equalWidth="0" w:num="2">
            <w:col w:w="2960" w:space="299"/>
            <w:col w:w="8411"/>
          </w:cols>
        </w:sectPr>
      </w:pPr>
    </w:p>
    <w:p>
      <w:pPr>
        <w:pStyle w:val="5"/>
        <w:spacing w:before="5"/>
        <w:rPr>
          <w:rFonts w:ascii="PMingLiU"/>
          <w:sz w:val="11"/>
        </w:rPr>
      </w:pPr>
    </w:p>
    <w:p>
      <w:pPr>
        <w:pStyle w:val="5"/>
        <w:spacing w:before="55" w:line="364" w:lineRule="auto"/>
        <w:ind w:left="992" w:right="872" w:firstLine="960"/>
      </w:pPr>
      <w:r>
        <w:t>发动机</w:t>
      </w:r>
      <w:r>
        <w:rPr>
          <w:color w:val="FF0000"/>
          <w:spacing w:val="-21"/>
        </w:rPr>
        <w:t xml:space="preserve">康明斯 </w:t>
      </w:r>
      <w:r>
        <w:rPr>
          <w:color w:val="FF0000"/>
        </w:rPr>
        <w:t>290</w:t>
      </w:r>
      <w:r>
        <w:rPr>
          <w:color w:val="FF0000"/>
          <w:spacing w:val="-31"/>
        </w:rPr>
        <w:t xml:space="preserve"> 马力</w:t>
      </w:r>
      <w:r>
        <w:rPr>
          <w:color w:val="FF0000"/>
        </w:rPr>
        <w:t>（六缸</w:t>
      </w:r>
      <w:r>
        <w:rPr>
          <w:color w:val="FF0000"/>
          <w:spacing w:val="-10"/>
        </w:rPr>
        <w:t>）</w:t>
      </w:r>
      <w:r>
        <w:rPr>
          <w:spacing w:val="-24"/>
        </w:rPr>
        <w:t xml:space="preserve">，大同 </w:t>
      </w:r>
      <w:r>
        <w:t>7</w:t>
      </w:r>
      <w:r>
        <w:rPr>
          <w:spacing w:val="-15"/>
        </w:rPr>
        <w:t xml:space="preserve"> 档变速箱，</w:t>
      </w:r>
      <w:r>
        <w:t>D320</w:t>
      </w:r>
      <w:r>
        <w:rPr>
          <w:spacing w:val="-28"/>
        </w:rPr>
        <w:t xml:space="preserve"> 排半</w:t>
      </w:r>
      <w:r>
        <w:rPr>
          <w:spacing w:val="-28"/>
          <w:w w:val="99"/>
        </w:rPr>
        <w:t>豪华</w:t>
      </w:r>
      <w:r>
        <w:rPr>
          <w:spacing w:val="-79"/>
        </w:rPr>
        <w:t xml:space="preserve"> </w:t>
      </w:r>
      <w:r>
        <w:rPr>
          <w:spacing w:val="1"/>
          <w:w w:val="99"/>
        </w:rPr>
        <w:t>K</w:t>
      </w:r>
      <w:r>
        <w:rPr>
          <w:w w:val="99"/>
        </w:rPr>
        <w:t>L</w:t>
      </w:r>
      <w:r>
        <w:rPr>
          <w:spacing w:val="-80"/>
        </w:rPr>
        <w:t xml:space="preserve"> </w:t>
      </w:r>
      <w:r>
        <w:rPr>
          <w:spacing w:val="-33"/>
          <w:w w:val="99"/>
        </w:rPr>
        <w:t>驾驶室，</w:t>
      </w:r>
      <w:r>
        <w:rPr>
          <w:spacing w:val="1"/>
          <w:w w:val="99"/>
        </w:rPr>
        <w:t>5.</w:t>
      </w:r>
      <w:r>
        <w:rPr>
          <w:spacing w:val="-2"/>
          <w:w w:val="99"/>
        </w:rPr>
        <w:t>5</w:t>
      </w:r>
      <w:r>
        <w:rPr>
          <w:w w:val="99"/>
        </w:rPr>
        <w:t>T</w:t>
      </w:r>
      <w:r>
        <w:rPr>
          <w:spacing w:val="-80"/>
        </w:rPr>
        <w:t xml:space="preserve"> </w:t>
      </w:r>
      <w:r>
        <w:rPr>
          <w:spacing w:val="-33"/>
          <w:w w:val="99"/>
        </w:rPr>
        <w:t>前桥，双</w:t>
      </w:r>
      <w:r>
        <w:rPr>
          <w:spacing w:val="-33"/>
        </w:rPr>
        <w:t xml:space="preserve"> </w:t>
      </w:r>
      <w:r>
        <w:rPr>
          <w:spacing w:val="1"/>
          <w:w w:val="99"/>
        </w:rPr>
        <w:t>10</w:t>
      </w:r>
      <w:r>
        <w:rPr>
          <w:w w:val="99"/>
        </w:rPr>
        <w:t>T</w:t>
      </w:r>
      <w:r>
        <w:rPr>
          <w:spacing w:val="-82"/>
        </w:rPr>
        <w:t xml:space="preserve"> </w:t>
      </w:r>
      <w:r>
        <w:rPr>
          <w:spacing w:val="-43"/>
          <w:w w:val="99"/>
        </w:rPr>
        <w:t>后桥，</w:t>
      </w:r>
      <w:r>
        <w:rPr>
          <w:spacing w:val="1"/>
          <w:w w:val="99"/>
        </w:rPr>
        <w:t>2</w:t>
      </w:r>
      <w:r>
        <w:rPr>
          <w:spacing w:val="-2"/>
          <w:w w:val="99"/>
        </w:rPr>
        <w:t>9</w:t>
      </w:r>
      <w:r>
        <w:rPr>
          <w:w w:val="99"/>
        </w:rPr>
        <w:t>5</w:t>
      </w:r>
      <w:r>
        <w:rPr>
          <w:spacing w:val="-80"/>
        </w:rPr>
        <w:t xml:space="preserve"> </w:t>
      </w:r>
      <w:r>
        <w:rPr>
          <w:spacing w:val="-23"/>
          <w:w w:val="99"/>
        </w:rPr>
        <w:t>真空胎，轴距</w:t>
      </w:r>
      <w:r>
        <w:rPr>
          <w:spacing w:val="-79"/>
        </w:rPr>
        <w:t xml:space="preserve"> </w:t>
      </w:r>
      <w:r>
        <w:rPr>
          <w:spacing w:val="1"/>
          <w:w w:val="99"/>
        </w:rPr>
        <w:t>43</w:t>
      </w:r>
      <w:r>
        <w:rPr>
          <w:spacing w:val="-2"/>
          <w:w w:val="99"/>
        </w:rPr>
        <w:t>5</w:t>
      </w:r>
      <w:r>
        <w:rPr>
          <w:spacing w:val="1"/>
          <w:w w:val="99"/>
        </w:rPr>
        <w:t>0+</w:t>
      </w:r>
      <w:r>
        <w:rPr>
          <w:spacing w:val="-2"/>
          <w:w w:val="99"/>
        </w:rPr>
        <w:t>1</w:t>
      </w:r>
      <w:r>
        <w:rPr>
          <w:spacing w:val="1"/>
          <w:w w:val="99"/>
        </w:rPr>
        <w:t>35</w:t>
      </w:r>
      <w:r>
        <w:rPr>
          <w:spacing w:val="-2"/>
          <w:w w:val="99"/>
        </w:rPr>
        <w:t>0</w:t>
      </w:r>
      <w:r>
        <w:rPr>
          <w:w w:val="99"/>
        </w:rPr>
        <w:t xml:space="preserve">， </w:t>
      </w:r>
      <w:r>
        <w:t>300</w:t>
      </w:r>
      <w:r>
        <w:rPr>
          <w:spacing w:val="-10"/>
        </w:rPr>
        <w:t xml:space="preserve"> 双层大梁，电动玻璃，中控，气囊座椅，空调，行车记录仪。</w:t>
      </w:r>
    </w:p>
    <w:p>
      <w:pPr>
        <w:spacing w:after="0" w:line="364" w:lineRule="auto"/>
        <w:sectPr>
          <w:type w:val="continuous"/>
          <w:pgSz w:w="11910" w:h="16840"/>
          <w:pgMar w:top="2080" w:right="100" w:bottom="280" w:left="140" w:header="720" w:footer="720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28"/>
        </w:rPr>
      </w:pPr>
    </w:p>
    <w:p>
      <w:pPr>
        <w:pStyle w:val="4"/>
        <w:numPr>
          <w:ilvl w:val="0"/>
          <w:numId w:val="1"/>
        </w:numPr>
        <w:tabs>
          <w:tab w:val="left" w:pos="1317"/>
        </w:tabs>
        <w:spacing w:before="54" w:after="0" w:line="240" w:lineRule="auto"/>
        <w:ind w:left="1316" w:right="0" w:hanging="325"/>
        <w:jc w:val="left"/>
      </w:pPr>
      <w:r>
        <w:t>上装配置：</w:t>
      </w:r>
    </w:p>
    <w:p>
      <w:pPr>
        <w:pStyle w:val="5"/>
        <w:spacing w:before="214"/>
        <w:ind w:left="1314"/>
      </w:pPr>
      <w:r>
        <w:t>1、罐体约为 18.3 方，可加装 60-120 型雾炮</w:t>
      </w:r>
    </w:p>
    <w:p>
      <w:pPr>
        <w:pStyle w:val="5"/>
        <w:spacing w:before="214"/>
        <w:ind w:left="1314"/>
      </w:pPr>
      <w:r>
        <w:t>2、边灯带电，罐体尾部上方标配 2 个红色示宽灯，</w:t>
      </w:r>
    </w:p>
    <w:p>
      <w:pPr>
        <w:pStyle w:val="5"/>
        <w:spacing w:before="214" w:line="364" w:lineRule="auto"/>
        <w:ind w:left="1633" w:right="1033" w:hanging="322"/>
      </w:pPr>
      <w:r>
        <w:t>3</w:t>
      </w:r>
      <w:r>
        <w:rPr>
          <w:spacing w:val="-12"/>
        </w:rPr>
        <w:t>、标配前喷为鸭嘴直冲，标配后冲，用户可根据自己的需求，来调整对冲位置。</w:t>
      </w:r>
    </w:p>
    <w:p>
      <w:pPr>
        <w:pStyle w:val="5"/>
        <w:spacing w:before="2"/>
        <w:ind w:left="1314"/>
      </w:pPr>
      <w:r>
        <w:t>4、花纹防滑平台，炮筒后盖为定制型螺栓卡扣，</w:t>
      </w:r>
    </w:p>
    <w:p>
      <w:pPr>
        <w:pStyle w:val="5"/>
        <w:spacing w:before="214" w:line="364" w:lineRule="auto"/>
        <w:ind w:left="1633" w:right="1071" w:hanging="322"/>
      </w:pPr>
      <w:r>
        <w:t>5</w:t>
      </w:r>
      <w:r>
        <w:rPr>
          <w:spacing w:val="-4"/>
        </w:rPr>
        <w:t xml:space="preserve">、前喷、后冲、后洒、侧喷，绿化高炮开关球阀均采用 </w:t>
      </w:r>
      <w:r>
        <w:t>50</w:t>
      </w:r>
      <w:r>
        <w:rPr>
          <w:spacing w:val="-21"/>
        </w:rPr>
        <w:t xml:space="preserve"> 大通经不锈钢球阀，</w:t>
      </w:r>
    </w:p>
    <w:p>
      <w:pPr>
        <w:pStyle w:val="5"/>
        <w:spacing w:before="1"/>
        <w:ind w:left="1314"/>
      </w:pPr>
      <w:r>
        <w:t>6、新式轴承式水炮，更加耐用，</w:t>
      </w:r>
    </w:p>
    <w:p>
      <w:pPr>
        <w:pStyle w:val="5"/>
        <w:spacing w:before="214"/>
        <w:ind w:left="1314"/>
      </w:pPr>
      <w:r>
        <w:t>7、60-90 型水泵，</w:t>
      </w:r>
    </w:p>
    <w:p>
      <w:pPr>
        <w:pStyle w:val="5"/>
        <w:spacing w:before="215"/>
        <w:ind w:left="1314"/>
      </w:pPr>
      <w:r>
        <w:t>8、防腐法兰垫片，</w:t>
      </w:r>
    </w:p>
    <w:p>
      <w:pPr>
        <w:pStyle w:val="5"/>
        <w:spacing w:before="213"/>
        <w:ind w:left="1314"/>
      </w:pPr>
      <w:r>
        <w:t>9、铝制后洒，不易炸开</w:t>
      </w:r>
    </w:p>
    <w:p>
      <w:pPr>
        <w:pStyle w:val="5"/>
        <w:spacing w:before="215" w:line="364" w:lineRule="auto"/>
        <w:ind w:left="1952" w:right="1071" w:hanging="641"/>
      </w:pPr>
      <w:r>
        <w:t>10、罐体自动焊（美国林肯焊机及电源），拼板自动焊接，封头环缝焊接，无气孔，焊缝美观。</w:t>
      </w:r>
    </w:p>
    <w:p>
      <w:pPr>
        <w:pStyle w:val="5"/>
        <w:spacing w:before="1"/>
        <w:ind w:left="1314"/>
      </w:pPr>
      <w:r>
        <w:t>11、侧护网、后保险杠、均为螺栓连接，方便拆卸，维修方便。</w:t>
      </w:r>
    </w:p>
    <w:p>
      <w:pPr>
        <w:pStyle w:val="5"/>
        <w:spacing w:before="214" w:line="364" w:lineRule="auto"/>
        <w:ind w:left="1952" w:right="1071" w:hanging="641"/>
      </w:pPr>
      <w:r>
        <w:t>12、塑料挡泥板，替代铁挡泥板，更加轻便，用螺栓连接，方便拆卸。</w:t>
      </w:r>
    </w:p>
    <w:p>
      <w:pPr>
        <w:pStyle w:val="5"/>
        <w:spacing w:before="2"/>
        <w:ind w:left="1314"/>
      </w:pPr>
      <w:r>
        <w:t>13、前部、后部主管连接处为 6 孔圆法兰，不易冲垫</w:t>
      </w:r>
    </w:p>
    <w:p>
      <w:pPr>
        <w:spacing w:after="0"/>
        <w:sectPr>
          <w:pgSz w:w="11910" w:h="16840"/>
          <w:pgMar w:top="2080" w:right="100" w:bottom="280" w:left="140" w:header="871" w:footer="0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2"/>
        <w:spacing w:before="222"/>
      </w:pPr>
      <w:r>
        <w:rPr>
          <w:color w:val="FF0000"/>
        </w:rPr>
        <w:t>三.产品主要技术参数</w:t>
      </w:r>
    </w:p>
    <w:p>
      <w:pPr>
        <w:pStyle w:val="5"/>
        <w:spacing w:before="3"/>
        <w:rPr>
          <w:rFonts w:ascii="PMingLiU"/>
          <w:sz w:val="29"/>
        </w:rPr>
      </w:pPr>
    </w:p>
    <w:tbl>
      <w:tblPr>
        <w:tblStyle w:val="7"/>
        <w:tblW w:w="0" w:type="auto"/>
        <w:tblInd w:w="89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3494"/>
        <w:gridCol w:w="47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81"/>
              <w:ind w:left="374" w:right="367"/>
              <w:jc w:val="center"/>
              <w:rPr>
                <w:b/>
                <w:sz w:val="36"/>
              </w:rPr>
            </w:pPr>
            <w:r>
              <w:rPr>
                <w:b/>
                <w:color w:val="221F1F"/>
                <w:sz w:val="36"/>
              </w:rPr>
              <w:t>序号</w:t>
            </w:r>
          </w:p>
        </w:tc>
        <w:tc>
          <w:tcPr>
            <w:tcW w:w="3494" w:type="dxa"/>
          </w:tcPr>
          <w:p>
            <w:pPr>
              <w:pStyle w:val="11"/>
              <w:spacing w:before="81"/>
              <w:ind w:left="67" w:right="57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名称</w:t>
            </w:r>
          </w:p>
        </w:tc>
        <w:tc>
          <w:tcPr>
            <w:tcW w:w="4749" w:type="dxa"/>
          </w:tcPr>
          <w:p>
            <w:pPr>
              <w:pStyle w:val="11"/>
              <w:spacing w:before="81"/>
              <w:ind w:left="176" w:right="17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型号、规格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11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整车型号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9" w:right="17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CLT5254TDYDF6A 型多功能抑尘车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11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2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7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发动机型号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9" w:right="169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D6.7NS6B290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11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3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发动机马力/功率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8" w:right="17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康明斯 290 马力/213KW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11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4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7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发动机排量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9" w:right="169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6700ML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11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5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7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变速箱</w:t>
            </w:r>
          </w:p>
        </w:tc>
        <w:tc>
          <w:tcPr>
            <w:tcW w:w="4749" w:type="dxa"/>
          </w:tcPr>
          <w:p>
            <w:pPr>
              <w:pStyle w:val="11"/>
              <w:spacing w:before="107"/>
              <w:ind w:left="179" w:right="170"/>
              <w:jc w:val="center"/>
              <w:rPr>
                <w:sz w:val="32"/>
              </w:rPr>
            </w:pPr>
            <w:r>
              <w:rPr>
                <w:sz w:val="32"/>
              </w:rPr>
              <w:t>大同 7 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11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6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轮胎规格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9" w:right="17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295 真空胎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11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7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轴距</w:t>
            </w:r>
          </w:p>
        </w:tc>
        <w:tc>
          <w:tcPr>
            <w:tcW w:w="4749" w:type="dxa"/>
          </w:tcPr>
          <w:p>
            <w:pPr>
              <w:pStyle w:val="11"/>
              <w:spacing w:before="107"/>
              <w:ind w:left="178" w:right="170"/>
              <w:jc w:val="center"/>
              <w:rPr>
                <w:sz w:val="32"/>
              </w:rPr>
            </w:pPr>
            <w:r>
              <w:rPr>
                <w:sz w:val="32"/>
              </w:rPr>
              <w:t>4350+1350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11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8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7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总质量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9" w:right="169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25000KG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11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9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整备质量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9" w:right="169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14250KG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374" w:right="366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10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7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额定载质量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9" w:right="169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10555KG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374" w:right="366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11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86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整车尺寸（长×宽×高）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8" w:right="17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10.65*2.5*3.8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374" w:right="366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12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罐体容积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885"/>
              <w:rPr>
                <w:sz w:val="30"/>
              </w:rPr>
            </w:pPr>
            <w:r>
              <w:rPr>
                <w:color w:val="221F1F"/>
                <w:sz w:val="30"/>
              </w:rPr>
              <w:t>18.3 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374" w:right="366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13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燃料种类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6" w:right="17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柴油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374" w:right="366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14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排放标准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6" w:right="17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国六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374" w:right="366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15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水泵型号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8" w:right="17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60/90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514" w:type="dxa"/>
          </w:tcPr>
          <w:p>
            <w:pPr>
              <w:pStyle w:val="11"/>
              <w:spacing w:before="120"/>
              <w:ind w:left="374" w:right="366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16</w:t>
            </w:r>
          </w:p>
        </w:tc>
        <w:tc>
          <w:tcPr>
            <w:tcW w:w="3494" w:type="dxa"/>
          </w:tcPr>
          <w:p>
            <w:pPr>
              <w:pStyle w:val="11"/>
              <w:spacing w:before="120"/>
              <w:ind w:left="65" w:right="57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罐体材质</w:t>
            </w:r>
          </w:p>
        </w:tc>
        <w:tc>
          <w:tcPr>
            <w:tcW w:w="4749" w:type="dxa"/>
          </w:tcPr>
          <w:p>
            <w:pPr>
              <w:pStyle w:val="11"/>
              <w:spacing w:before="120"/>
              <w:ind w:left="179" w:right="17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Q235 碳钢</w:t>
            </w:r>
          </w:p>
        </w:tc>
      </w:tr>
    </w:tbl>
    <w:p>
      <w:pPr>
        <w:spacing w:after="0"/>
        <w:jc w:val="center"/>
        <w:rPr>
          <w:sz w:val="30"/>
        </w:rPr>
        <w:sectPr>
          <w:pgSz w:w="11910" w:h="16840"/>
          <w:pgMar w:top="2080" w:right="100" w:bottom="280" w:left="140" w:header="871" w:footer="0" w:gutter="0"/>
          <w:cols w:space="720" w:num="1"/>
        </w:sectPr>
      </w:pPr>
    </w:p>
    <w:p>
      <w:pPr>
        <w:pStyle w:val="5"/>
        <w:spacing w:before="10"/>
        <w:rPr>
          <w:rFonts w:ascii="PMingLiU"/>
          <w:sz w:val="21"/>
        </w:rPr>
      </w:pPr>
    </w:p>
    <w:p>
      <w:pPr>
        <w:spacing w:before="63"/>
        <w:ind w:left="0" w:right="39" w:firstLine="0"/>
        <w:jc w:val="center"/>
        <w:rPr>
          <w:rFonts w:hint="eastAsia" w:ascii="PMingLiU" w:eastAsia="PMingLiU"/>
          <w:sz w:val="52"/>
        </w:rPr>
      </w:pPr>
      <w:r>
        <w:rPr>
          <w:rFonts w:hint="eastAsia" w:ascii="PMingLiU" w:eastAsia="PMingLiU"/>
          <w:color w:val="FF0000"/>
          <w:sz w:val="52"/>
        </w:rPr>
        <w:t>四. 产品功能展示</w:t>
      </w:r>
    </w:p>
    <w:p>
      <w:pPr>
        <w:pStyle w:val="3"/>
        <w:tabs>
          <w:tab w:val="left" w:pos="5579"/>
        </w:tabs>
        <w:spacing w:before="160" w:after="4"/>
        <w:ind w:left="0" w:right="77"/>
        <w:jc w:val="center"/>
      </w:pPr>
      <w:r>
        <w:t>前冲鸭嘴</w:t>
      </w:r>
      <w:r>
        <w:tab/>
      </w:r>
      <w:r>
        <w:t>后洒</w:t>
      </w:r>
    </w:p>
    <w:p>
      <w:pPr>
        <w:tabs>
          <w:tab w:val="left" w:pos="5953"/>
        </w:tabs>
        <w:spacing w:line="240" w:lineRule="auto"/>
        <w:ind w:left="164" w:right="0" w:firstLine="0"/>
        <w:rPr>
          <w:rFonts w:ascii="PMingLiU"/>
          <w:sz w:val="20"/>
        </w:rPr>
      </w:pPr>
      <w:r>
        <w:rPr>
          <w:rFonts w:ascii="PMingLiU"/>
          <w:position w:val="6"/>
          <w:sz w:val="20"/>
        </w:rPr>
        <w:drawing>
          <wp:inline distT="0" distB="0" distL="0" distR="0">
            <wp:extent cx="3545840" cy="235013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950" cy="235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position w:val="6"/>
          <w:sz w:val="20"/>
        </w:rPr>
        <w:tab/>
      </w:r>
      <w:r>
        <w:rPr>
          <w:rFonts w:ascii="PMingLiU"/>
          <w:sz w:val="20"/>
        </w:rPr>
        <w:drawing>
          <wp:inline distT="0" distB="0" distL="0" distR="0">
            <wp:extent cx="3585845" cy="23888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379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999"/>
          <w:tab w:val="left" w:pos="7239"/>
        </w:tabs>
        <w:spacing w:before="95"/>
        <w:ind w:left="219"/>
        <w:jc w:val="center"/>
      </w:pPr>
      <w:r>
        <w:t>后对冲</w:t>
      </w:r>
      <w:r>
        <w:tab/>
      </w:r>
      <w:r>
        <w:t>高炮</w:t>
      </w:r>
      <w:r>
        <w:tab/>
      </w:r>
      <w:r>
        <w:t>高位花洒</w:t>
      </w:r>
    </w:p>
    <w:p>
      <w:pPr>
        <w:pStyle w:val="5"/>
        <w:spacing w:before="6"/>
        <w:rPr>
          <w:rFonts w:ascii="PMingLiU"/>
          <w:sz w:val="11"/>
        </w:rPr>
      </w:pPr>
      <w:r>
        <w:pict>
          <v:group id="_x0000_s1026" o:spid="_x0000_s1026" o:spt="203" style="position:absolute;left:0pt;margin-left:15.8pt;margin-top:9.9pt;height:126.15pt;width:375.4pt;mso-position-horizontal-relative:page;mso-wrap-distance-bottom:0pt;mso-wrap-distance-top:0pt;z-index:-251653120;mso-width-relative:page;mso-height-relative:page;" coordorigin="317,199" coordsize="7508,2523">
            <o:lock v:ext="edit"/>
            <v:shape id="_x0000_s1027" o:spid="_x0000_s1027" o:spt="75" type="#_x0000_t75" style="position:absolute;left:316;top:198;height:2520;width:3780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28" o:spid="_x0000_s1028" o:spt="75" type="#_x0000_t75" style="position:absolute;left:4164;top:198;height:2523;width:3660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5016500</wp:posOffset>
            </wp:positionH>
            <wp:positionV relativeFrom="paragraph">
              <wp:posOffset>125730</wp:posOffset>
            </wp:positionV>
            <wp:extent cx="2432685" cy="162179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875" cy="162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1"/>
        <w:rPr>
          <w:rFonts w:ascii="PMingLiU"/>
        </w:rPr>
      </w:pPr>
    </w:p>
    <w:p>
      <w:pPr>
        <w:tabs>
          <w:tab w:val="left" w:pos="5579"/>
        </w:tabs>
        <w:spacing w:before="0" w:after="12"/>
        <w:ind w:left="0" w:right="138" w:firstLine="0"/>
        <w:jc w:val="center"/>
        <w:rPr>
          <w:rFonts w:hint="eastAsia" w:ascii="PMingLiU" w:eastAsia="PMingLiU"/>
          <w:sz w:val="36"/>
        </w:rPr>
      </w:pPr>
      <w:r>
        <w:rPr>
          <w:rFonts w:hint="eastAsia" w:ascii="PMingLiU" w:eastAsia="PMingLiU"/>
          <w:sz w:val="36"/>
        </w:rPr>
        <w:t>侧喷</w:t>
      </w:r>
      <w:r>
        <w:rPr>
          <w:rFonts w:hint="eastAsia" w:ascii="PMingLiU" w:eastAsia="PMingLiU"/>
          <w:sz w:val="36"/>
        </w:rPr>
        <w:tab/>
      </w:r>
      <w:r>
        <w:rPr>
          <w:rFonts w:hint="eastAsia" w:ascii="PMingLiU" w:eastAsia="PMingLiU"/>
          <w:sz w:val="36"/>
        </w:rPr>
        <w:t>雾炮</w:t>
      </w:r>
    </w:p>
    <w:p>
      <w:pPr>
        <w:spacing w:line="240" w:lineRule="auto"/>
        <w:ind w:left="227" w:right="0" w:firstLine="0"/>
        <w:rPr>
          <w:rFonts w:ascii="PMingLiU"/>
          <w:sz w:val="20"/>
        </w:rPr>
      </w:pPr>
      <w:r>
        <w:rPr>
          <w:rFonts w:ascii="PMingLiU"/>
          <w:position w:val="3"/>
          <w:sz w:val="20"/>
        </w:rPr>
        <w:drawing>
          <wp:inline distT="0" distB="0" distL="0" distR="0">
            <wp:extent cx="3472180" cy="2215515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321" cy="221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position w:val="3"/>
          <w:sz w:val="20"/>
        </w:rPr>
        <w:t xml:space="preserve"> </w:t>
      </w:r>
      <w:r>
        <w:rPr>
          <w:rFonts w:ascii="PMingLiU"/>
          <w:spacing w:val="109"/>
          <w:sz w:val="20"/>
        </w:rPr>
        <w:drawing>
          <wp:inline distT="0" distB="0" distL="0" distR="0">
            <wp:extent cx="3561715" cy="2252980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191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PMingLiU"/>
          <w:sz w:val="20"/>
        </w:rPr>
        <w:sectPr>
          <w:pgSz w:w="11910" w:h="16840"/>
          <w:pgMar w:top="2080" w:right="100" w:bottom="280" w:left="140" w:header="871" w:footer="0" w:gutter="0"/>
          <w:cols w:space="720" w:num="1"/>
        </w:sectPr>
      </w:pPr>
    </w:p>
    <w:p>
      <w:pPr>
        <w:pStyle w:val="2"/>
        <w:spacing w:before="54" w:after="19"/>
      </w:pPr>
      <w:r>
        <w:rPr>
          <w:color w:val="FF0000"/>
        </w:rPr>
        <w:t>五.产品分解图</w:t>
      </w:r>
    </w:p>
    <w:p>
      <w:pPr>
        <w:pStyle w:val="5"/>
        <w:ind w:left="184"/>
        <w:rPr>
          <w:rFonts w:ascii="PMingLiU"/>
          <w:sz w:val="20"/>
        </w:rPr>
      </w:pPr>
      <w:r>
        <w:rPr>
          <w:rFonts w:ascii="PMingLiU"/>
          <w:sz w:val="20"/>
        </w:rPr>
        <w:drawing>
          <wp:inline distT="0" distB="0" distL="0" distR="0">
            <wp:extent cx="7176135" cy="5068570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559" cy="506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"/>
        <w:ind w:left="0" w:right="35" w:firstLine="0"/>
        <w:jc w:val="center"/>
        <w:rPr>
          <w:rFonts w:hint="eastAsia" w:ascii="PMingLiU" w:eastAsia="PMingLiU"/>
          <w:sz w:val="52"/>
        </w:rPr>
      </w:pPr>
      <w:r>
        <w:rPr>
          <w:rFonts w:hint="eastAsia" w:ascii="PMingLiU" w:eastAsia="PMingLiU"/>
          <w:color w:val="FF0000"/>
          <w:sz w:val="52"/>
        </w:rPr>
        <w:t>六．产品工艺介绍</w:t>
      </w:r>
    </w:p>
    <w:p>
      <w:pPr>
        <w:pStyle w:val="5"/>
        <w:spacing w:before="13"/>
        <w:rPr>
          <w:rFonts w:ascii="PMingLiU"/>
          <w:sz w:val="6"/>
        </w:rPr>
      </w:pPr>
    </w:p>
    <w:tbl>
      <w:tblPr>
        <w:tblStyle w:val="7"/>
        <w:tblW w:w="0" w:type="auto"/>
        <w:tblInd w:w="89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1"/>
        <w:gridCol w:w="3067"/>
        <w:gridCol w:w="37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061" w:type="dxa"/>
          </w:tcPr>
          <w:p>
            <w:pPr>
              <w:pStyle w:val="11"/>
              <w:spacing w:before="120"/>
              <w:ind w:left="188" w:right="18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产品配件</w:t>
            </w:r>
          </w:p>
        </w:tc>
        <w:tc>
          <w:tcPr>
            <w:tcW w:w="3067" w:type="dxa"/>
          </w:tcPr>
          <w:p>
            <w:pPr>
              <w:pStyle w:val="11"/>
              <w:spacing w:before="120"/>
              <w:ind w:left="80" w:right="70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参数</w:t>
            </w:r>
          </w:p>
        </w:tc>
        <w:tc>
          <w:tcPr>
            <w:tcW w:w="3726" w:type="dxa"/>
          </w:tcPr>
          <w:p>
            <w:pPr>
              <w:pStyle w:val="11"/>
              <w:spacing w:before="120"/>
              <w:ind w:left="1242" w:right="1233"/>
              <w:jc w:val="center"/>
              <w:rPr>
                <w:sz w:val="30"/>
              </w:rPr>
            </w:pPr>
            <w:r>
              <w:rPr>
                <w:color w:val="221F1F"/>
                <w:sz w:val="30"/>
              </w:rPr>
              <w:t>示例图片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5" w:hRule="atLeast"/>
        </w:trPr>
        <w:tc>
          <w:tcPr>
            <w:tcW w:w="3061" w:type="dxa"/>
          </w:tcPr>
          <w:p>
            <w:pPr>
              <w:pStyle w:val="11"/>
              <w:rPr>
                <w:rFonts w:ascii="PMingLiU"/>
                <w:sz w:val="44"/>
              </w:rPr>
            </w:pPr>
          </w:p>
          <w:p>
            <w:pPr>
              <w:pStyle w:val="11"/>
              <w:spacing w:before="3"/>
              <w:rPr>
                <w:rFonts w:ascii="PMingLiU"/>
                <w:sz w:val="36"/>
              </w:rPr>
            </w:pPr>
          </w:p>
          <w:p>
            <w:pPr>
              <w:pStyle w:val="11"/>
              <w:ind w:left="190" w:right="177"/>
              <w:jc w:val="center"/>
              <w:rPr>
                <w:sz w:val="44"/>
              </w:rPr>
            </w:pPr>
            <w:r>
              <w:rPr>
                <w:sz w:val="44"/>
              </w:rPr>
              <w:t>罐体封头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spacing w:before="7"/>
              <w:rPr>
                <w:rFonts w:ascii="PMingLiU"/>
                <w:sz w:val="31"/>
              </w:rPr>
            </w:pPr>
          </w:p>
          <w:p>
            <w:pPr>
              <w:pStyle w:val="11"/>
              <w:spacing w:before="1"/>
              <w:ind w:left="87" w:right="58"/>
              <w:jc w:val="center"/>
              <w:rPr>
                <w:sz w:val="28"/>
              </w:rPr>
            </w:pPr>
            <w:r>
              <w:rPr>
                <w:sz w:val="28"/>
              </w:rPr>
              <w:t>自动焊接</w:t>
            </w:r>
          </w:p>
        </w:tc>
        <w:tc>
          <w:tcPr>
            <w:tcW w:w="3726" w:type="dxa"/>
          </w:tcPr>
          <w:p>
            <w:pPr>
              <w:pStyle w:val="11"/>
              <w:spacing w:before="2"/>
              <w:rPr>
                <w:rFonts w:ascii="PMingLiU"/>
                <w:sz w:val="8"/>
              </w:rPr>
            </w:pPr>
          </w:p>
          <w:p>
            <w:pPr>
              <w:pStyle w:val="11"/>
              <w:ind w:left="137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150110" cy="1614805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42" cy="161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rFonts w:ascii="PMingLiU"/>
          <w:sz w:val="20"/>
        </w:rPr>
        <w:sectPr>
          <w:pgSz w:w="11910" w:h="16840"/>
          <w:pgMar w:top="2080" w:right="100" w:bottom="280" w:left="140" w:header="871" w:footer="0" w:gutter="0"/>
          <w:cols w:space="720" w:num="1"/>
        </w:sectPr>
      </w:pPr>
    </w:p>
    <w:tbl>
      <w:tblPr>
        <w:tblStyle w:val="7"/>
        <w:tblW w:w="0" w:type="auto"/>
        <w:tblInd w:w="89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1"/>
        <w:gridCol w:w="3067"/>
        <w:gridCol w:w="37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</w:trPr>
        <w:tc>
          <w:tcPr>
            <w:tcW w:w="3061" w:type="dxa"/>
          </w:tcPr>
          <w:p>
            <w:pPr>
              <w:pStyle w:val="11"/>
              <w:spacing w:before="9"/>
              <w:rPr>
                <w:rFonts w:ascii="PMingLiU"/>
                <w:sz w:val="65"/>
              </w:rPr>
            </w:pPr>
          </w:p>
          <w:p>
            <w:pPr>
              <w:pStyle w:val="11"/>
              <w:ind w:left="190" w:right="180"/>
              <w:jc w:val="center"/>
              <w:rPr>
                <w:sz w:val="44"/>
              </w:rPr>
            </w:pPr>
            <w:r>
              <w:rPr>
                <w:sz w:val="44"/>
              </w:rPr>
              <w:t>罐体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24"/>
              </w:rPr>
            </w:pPr>
          </w:p>
          <w:p>
            <w:pPr>
              <w:pStyle w:val="11"/>
              <w:spacing w:before="7"/>
              <w:rPr>
                <w:rFonts w:ascii="PMingLiU"/>
                <w:sz w:val="17"/>
              </w:rPr>
            </w:pPr>
          </w:p>
          <w:p>
            <w:pPr>
              <w:pStyle w:val="11"/>
              <w:spacing w:line="242" w:lineRule="auto"/>
              <w:ind w:left="87" w:right="70"/>
              <w:jc w:val="center"/>
              <w:rPr>
                <w:sz w:val="24"/>
              </w:rPr>
            </w:pPr>
            <w:r>
              <w:rPr>
                <w:sz w:val="24"/>
              </w:rPr>
              <w:t>大型卷板机滚压，拼板与封头对接全自动焊接，焊缝美观，不开裂，无漏焊，保证罐体强度。</w:t>
            </w:r>
          </w:p>
        </w:tc>
        <w:tc>
          <w:tcPr>
            <w:tcW w:w="3726" w:type="dxa"/>
          </w:tcPr>
          <w:p>
            <w:pPr>
              <w:pStyle w:val="11"/>
              <w:spacing w:before="8"/>
              <w:rPr>
                <w:rFonts w:ascii="PMingLiU"/>
                <w:sz w:val="5"/>
              </w:rPr>
            </w:pPr>
          </w:p>
          <w:p>
            <w:pPr>
              <w:pStyle w:val="11"/>
              <w:ind w:left="93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178050" cy="1366520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444" cy="136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4" w:hRule="atLeast"/>
        </w:trPr>
        <w:tc>
          <w:tcPr>
            <w:tcW w:w="3061" w:type="dxa"/>
          </w:tcPr>
          <w:p>
            <w:pPr>
              <w:pStyle w:val="11"/>
              <w:spacing w:before="12"/>
              <w:rPr>
                <w:rFonts w:ascii="PMingLiU"/>
                <w:sz w:val="57"/>
              </w:rPr>
            </w:pPr>
          </w:p>
          <w:p>
            <w:pPr>
              <w:pStyle w:val="11"/>
              <w:ind w:left="190" w:right="180"/>
              <w:jc w:val="center"/>
              <w:rPr>
                <w:sz w:val="44"/>
              </w:rPr>
            </w:pPr>
            <w:r>
              <w:rPr>
                <w:sz w:val="44"/>
              </w:rPr>
              <w:t>罐体表面处理</w:t>
            </w:r>
          </w:p>
        </w:tc>
        <w:tc>
          <w:tcPr>
            <w:tcW w:w="3067" w:type="dxa"/>
          </w:tcPr>
          <w:p>
            <w:pPr>
              <w:pStyle w:val="11"/>
              <w:spacing w:before="4"/>
              <w:ind w:left="235"/>
              <w:rPr>
                <w:sz w:val="24"/>
              </w:rPr>
            </w:pPr>
            <w:r>
              <w:rPr>
                <w:sz w:val="24"/>
              </w:rPr>
              <w:t>罐体成型后需要表面处理</w:t>
            </w:r>
          </w:p>
          <w:p>
            <w:pPr>
              <w:pStyle w:val="11"/>
              <w:spacing w:before="4" w:line="242" w:lineRule="auto"/>
              <w:ind w:left="107" w:right="-29" w:firstLine="9"/>
              <w:rPr>
                <w:sz w:val="24"/>
              </w:rPr>
            </w:pPr>
            <w:r>
              <w:rPr>
                <w:spacing w:val="-5"/>
                <w:sz w:val="24"/>
              </w:rPr>
              <w:t>①喷砂抛丸</w:t>
            </w:r>
            <w:r>
              <w:rPr>
                <w:spacing w:val="-3"/>
                <w:sz w:val="24"/>
              </w:rPr>
              <w:t>（</w:t>
            </w:r>
            <w:r>
              <w:rPr>
                <w:spacing w:val="-5"/>
                <w:sz w:val="24"/>
              </w:rPr>
              <w:t>表面焊渣及杂</w:t>
            </w:r>
            <w:r>
              <w:rPr>
                <w:spacing w:val="-15"/>
                <w:sz w:val="24"/>
              </w:rPr>
              <w:t>质清除，罐体表面平整洁净</w:t>
            </w:r>
            <w:r>
              <w:rPr>
                <w:sz w:val="24"/>
              </w:rPr>
              <w:t>）</w:t>
            </w:r>
          </w:p>
          <w:p>
            <w:pPr>
              <w:pStyle w:val="11"/>
              <w:spacing w:before="3" w:line="242" w:lineRule="auto"/>
              <w:ind w:left="117" w:right="100" w:hanging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②表面防锈喷漆处理，以免</w:t>
            </w:r>
            <w:r>
              <w:rPr>
                <w:spacing w:val="-6"/>
                <w:sz w:val="24"/>
              </w:rPr>
              <w:t>日后使用生锈，保证罐体使</w:t>
            </w:r>
            <w:r>
              <w:rPr>
                <w:spacing w:val="-4"/>
                <w:sz w:val="24"/>
              </w:rPr>
              <w:t>用寿命长。</w:t>
            </w:r>
          </w:p>
        </w:tc>
        <w:tc>
          <w:tcPr>
            <w:tcW w:w="3726" w:type="dxa"/>
          </w:tcPr>
          <w:p>
            <w:pPr>
              <w:pStyle w:val="11"/>
              <w:spacing w:before="2"/>
              <w:rPr>
                <w:rFonts w:ascii="PMingLiU"/>
                <w:sz w:val="5"/>
              </w:rPr>
            </w:pPr>
          </w:p>
          <w:p>
            <w:pPr>
              <w:pStyle w:val="11"/>
              <w:ind w:left="137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176145" cy="1272540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51" cy="12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6" w:hRule="atLeast"/>
        </w:trPr>
        <w:tc>
          <w:tcPr>
            <w:tcW w:w="3061" w:type="dxa"/>
          </w:tcPr>
          <w:p>
            <w:pPr>
              <w:pStyle w:val="11"/>
              <w:rPr>
                <w:rFonts w:ascii="PMingLiU"/>
                <w:sz w:val="44"/>
              </w:rPr>
            </w:pPr>
          </w:p>
          <w:p>
            <w:pPr>
              <w:pStyle w:val="11"/>
              <w:spacing w:before="350"/>
              <w:ind w:left="190" w:right="180"/>
              <w:jc w:val="center"/>
              <w:rPr>
                <w:sz w:val="44"/>
              </w:rPr>
            </w:pPr>
            <w:r>
              <w:rPr>
                <w:sz w:val="44"/>
              </w:rPr>
              <w:t>管路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24"/>
              </w:rPr>
            </w:pPr>
          </w:p>
          <w:p>
            <w:pPr>
              <w:pStyle w:val="11"/>
              <w:rPr>
                <w:rFonts w:ascii="PMingLiU"/>
                <w:sz w:val="24"/>
              </w:rPr>
            </w:pPr>
          </w:p>
          <w:p>
            <w:pPr>
              <w:pStyle w:val="11"/>
              <w:spacing w:before="2"/>
              <w:rPr>
                <w:rFonts w:ascii="PMingLiU"/>
                <w:sz w:val="19"/>
              </w:rPr>
            </w:pPr>
          </w:p>
          <w:p>
            <w:pPr>
              <w:pStyle w:val="11"/>
              <w:spacing w:line="242" w:lineRule="auto"/>
              <w:ind w:left="1413" w:right="40" w:hanging="1296"/>
              <w:rPr>
                <w:sz w:val="24"/>
              </w:rPr>
            </w:pPr>
            <w:r>
              <w:rPr>
                <w:sz w:val="24"/>
              </w:rPr>
              <w:t>管路为无缝管，并做防锈处理</w:t>
            </w:r>
          </w:p>
        </w:tc>
        <w:tc>
          <w:tcPr>
            <w:tcW w:w="3726" w:type="dxa"/>
          </w:tcPr>
          <w:p>
            <w:pPr>
              <w:pStyle w:val="11"/>
              <w:spacing w:before="6"/>
              <w:rPr>
                <w:rFonts w:ascii="PMingLiU"/>
                <w:sz w:val="4"/>
              </w:rPr>
            </w:pPr>
          </w:p>
          <w:p>
            <w:pPr>
              <w:pStyle w:val="11"/>
              <w:ind w:left="153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171700" cy="1495425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253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6" w:hRule="atLeast"/>
        </w:trPr>
        <w:tc>
          <w:tcPr>
            <w:tcW w:w="3061" w:type="dxa"/>
          </w:tcPr>
          <w:p>
            <w:pPr>
              <w:pStyle w:val="11"/>
              <w:rPr>
                <w:rFonts w:ascii="PMingLiU"/>
                <w:sz w:val="44"/>
              </w:rPr>
            </w:pPr>
          </w:p>
          <w:p>
            <w:pPr>
              <w:pStyle w:val="11"/>
              <w:spacing w:before="352"/>
              <w:ind w:left="190" w:right="180"/>
              <w:jc w:val="center"/>
              <w:rPr>
                <w:sz w:val="44"/>
              </w:rPr>
            </w:pPr>
            <w:r>
              <w:rPr>
                <w:sz w:val="44"/>
              </w:rPr>
              <w:t>高炮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24"/>
              </w:rPr>
            </w:pPr>
          </w:p>
          <w:p>
            <w:pPr>
              <w:pStyle w:val="11"/>
              <w:rPr>
                <w:rFonts w:ascii="PMingLiU"/>
                <w:sz w:val="24"/>
              </w:rPr>
            </w:pPr>
          </w:p>
          <w:p>
            <w:pPr>
              <w:pStyle w:val="11"/>
              <w:spacing w:before="4"/>
              <w:rPr>
                <w:rFonts w:ascii="PMingLiU"/>
                <w:sz w:val="30"/>
              </w:rPr>
            </w:pPr>
          </w:p>
          <w:p>
            <w:pPr>
              <w:pStyle w:val="11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新式高压轴承水炮</w:t>
            </w:r>
          </w:p>
        </w:tc>
        <w:tc>
          <w:tcPr>
            <w:tcW w:w="3726" w:type="dxa"/>
          </w:tcPr>
          <w:p>
            <w:pPr>
              <w:pStyle w:val="11"/>
              <w:spacing w:before="13"/>
              <w:rPr>
                <w:rFonts w:ascii="PMingLiU"/>
                <w:sz w:val="9"/>
              </w:rPr>
            </w:pPr>
          </w:p>
          <w:p>
            <w:pPr>
              <w:pStyle w:val="11"/>
              <w:ind w:left="137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207895" cy="1412240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456" cy="141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4" w:hRule="atLeast"/>
        </w:trPr>
        <w:tc>
          <w:tcPr>
            <w:tcW w:w="3061" w:type="dxa"/>
          </w:tcPr>
          <w:p>
            <w:pPr>
              <w:pStyle w:val="11"/>
              <w:rPr>
                <w:rFonts w:ascii="PMingLiU"/>
                <w:sz w:val="44"/>
              </w:rPr>
            </w:pPr>
          </w:p>
          <w:p>
            <w:pPr>
              <w:pStyle w:val="11"/>
              <w:rPr>
                <w:rFonts w:ascii="PMingLiU"/>
                <w:sz w:val="44"/>
              </w:rPr>
            </w:pPr>
          </w:p>
          <w:p>
            <w:pPr>
              <w:pStyle w:val="11"/>
              <w:spacing w:before="3"/>
              <w:rPr>
                <w:rFonts w:ascii="PMingLiU"/>
                <w:sz w:val="36"/>
              </w:rPr>
            </w:pPr>
          </w:p>
          <w:p>
            <w:pPr>
              <w:pStyle w:val="11"/>
              <w:ind w:left="190" w:right="180"/>
              <w:jc w:val="center"/>
              <w:rPr>
                <w:sz w:val="44"/>
              </w:rPr>
            </w:pPr>
            <w:r>
              <w:rPr>
                <w:sz w:val="44"/>
              </w:rPr>
              <w:t>出水管道球阀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spacing w:before="7"/>
              <w:rPr>
                <w:rFonts w:ascii="PMingLiU"/>
                <w:sz w:val="19"/>
              </w:rPr>
            </w:pPr>
          </w:p>
          <w:p>
            <w:pPr>
              <w:pStyle w:val="11"/>
              <w:ind w:left="87" w:right="65"/>
              <w:jc w:val="center"/>
              <w:rPr>
                <w:sz w:val="28"/>
              </w:rPr>
            </w:pPr>
            <w:r>
              <w:rPr>
                <w:sz w:val="28"/>
              </w:rPr>
              <w:t>50 大通径不锈钢</w:t>
            </w:r>
          </w:p>
        </w:tc>
        <w:tc>
          <w:tcPr>
            <w:tcW w:w="3726" w:type="dxa"/>
          </w:tcPr>
          <w:p>
            <w:pPr>
              <w:pStyle w:val="11"/>
              <w:spacing w:before="6"/>
              <w:rPr>
                <w:rFonts w:ascii="PMingLiU"/>
                <w:sz w:val="29"/>
              </w:rPr>
            </w:pPr>
          </w:p>
          <w:p>
            <w:pPr>
              <w:pStyle w:val="11"/>
              <w:ind w:left="77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223770" cy="2021205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96" cy="202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rFonts w:ascii="PMingLiU"/>
          <w:sz w:val="20"/>
        </w:rPr>
        <w:sectPr>
          <w:headerReference r:id="rId6" w:type="default"/>
          <w:pgSz w:w="11910" w:h="16840"/>
          <w:pgMar w:top="2020" w:right="100" w:bottom="280" w:left="140" w:header="871" w:footer="0" w:gutter="0"/>
          <w:cols w:space="720" w:num="1"/>
        </w:sectPr>
      </w:pPr>
    </w:p>
    <w:tbl>
      <w:tblPr>
        <w:tblStyle w:val="7"/>
        <w:tblW w:w="0" w:type="auto"/>
        <w:tblInd w:w="89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1"/>
        <w:gridCol w:w="3067"/>
        <w:gridCol w:w="37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6" w:hRule="atLeast"/>
        </w:trPr>
        <w:tc>
          <w:tcPr>
            <w:tcW w:w="3061" w:type="dxa"/>
          </w:tcPr>
          <w:p>
            <w:pPr>
              <w:pStyle w:val="11"/>
              <w:spacing w:before="7"/>
              <w:rPr>
                <w:rFonts w:ascii="PMingLiU"/>
                <w:sz w:val="55"/>
              </w:rPr>
            </w:pPr>
          </w:p>
          <w:p>
            <w:pPr>
              <w:pStyle w:val="11"/>
              <w:spacing w:before="1"/>
              <w:ind w:left="190" w:right="177"/>
              <w:jc w:val="center"/>
              <w:rPr>
                <w:sz w:val="44"/>
              </w:rPr>
            </w:pPr>
            <w:r>
              <w:rPr>
                <w:sz w:val="44"/>
              </w:rPr>
              <w:t>后工作平台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32"/>
              </w:rPr>
            </w:pPr>
          </w:p>
          <w:p>
            <w:pPr>
              <w:pStyle w:val="11"/>
              <w:rPr>
                <w:rFonts w:ascii="PMingLiU"/>
                <w:sz w:val="29"/>
              </w:rPr>
            </w:pPr>
          </w:p>
          <w:p>
            <w:pPr>
              <w:pStyle w:val="11"/>
              <w:ind w:left="573"/>
              <w:rPr>
                <w:sz w:val="32"/>
              </w:rPr>
            </w:pPr>
            <w:r>
              <w:rPr>
                <w:sz w:val="32"/>
              </w:rPr>
              <w:t>花纹防滑平台</w:t>
            </w:r>
          </w:p>
        </w:tc>
        <w:tc>
          <w:tcPr>
            <w:tcW w:w="3726" w:type="dxa"/>
          </w:tcPr>
          <w:p>
            <w:pPr>
              <w:pStyle w:val="11"/>
              <w:rPr>
                <w:rFonts w:ascii="PMingLiU"/>
                <w:sz w:val="2"/>
              </w:rPr>
            </w:pPr>
          </w:p>
          <w:p>
            <w:pPr>
              <w:pStyle w:val="11"/>
              <w:ind w:left="139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201545" cy="1314450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7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915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4" w:hRule="atLeast"/>
        </w:trPr>
        <w:tc>
          <w:tcPr>
            <w:tcW w:w="3061" w:type="dxa"/>
          </w:tcPr>
          <w:p>
            <w:pPr>
              <w:pStyle w:val="11"/>
              <w:spacing w:before="13"/>
              <w:rPr>
                <w:rFonts w:ascii="PMingLiU"/>
                <w:sz w:val="57"/>
              </w:rPr>
            </w:pPr>
          </w:p>
          <w:p>
            <w:pPr>
              <w:pStyle w:val="11"/>
              <w:spacing w:before="1"/>
              <w:ind w:left="188" w:right="180"/>
              <w:jc w:val="center"/>
              <w:rPr>
                <w:sz w:val="44"/>
              </w:rPr>
            </w:pPr>
            <w:r>
              <w:rPr>
                <w:sz w:val="44"/>
              </w:rPr>
              <w:t>后防护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spacing w:before="210" w:line="417" w:lineRule="auto"/>
              <w:ind w:left="1130" w:right="83" w:hanging="1023"/>
              <w:rPr>
                <w:sz w:val="28"/>
              </w:rPr>
            </w:pPr>
            <w:r>
              <w:rPr>
                <w:spacing w:val="-23"/>
                <w:sz w:val="28"/>
              </w:rPr>
              <w:t>螺栓连接，方便拆卸，维</w:t>
            </w:r>
            <w:r>
              <w:rPr>
                <w:spacing w:val="-10"/>
                <w:sz w:val="28"/>
              </w:rPr>
              <w:t>修方便</w:t>
            </w:r>
          </w:p>
        </w:tc>
        <w:tc>
          <w:tcPr>
            <w:tcW w:w="3726" w:type="dxa"/>
          </w:tcPr>
          <w:p>
            <w:pPr>
              <w:pStyle w:val="11"/>
              <w:spacing w:before="1"/>
              <w:rPr>
                <w:rFonts w:ascii="PMingLiU"/>
                <w:sz w:val="4"/>
              </w:rPr>
            </w:pPr>
          </w:p>
          <w:p>
            <w:pPr>
              <w:pStyle w:val="11"/>
              <w:ind w:left="137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206625" cy="1320165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934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1" w:hRule="atLeast"/>
        </w:trPr>
        <w:tc>
          <w:tcPr>
            <w:tcW w:w="3061" w:type="dxa"/>
          </w:tcPr>
          <w:p>
            <w:pPr>
              <w:pStyle w:val="11"/>
              <w:spacing w:before="11"/>
              <w:rPr>
                <w:rFonts w:ascii="PMingLiU"/>
                <w:sz w:val="46"/>
              </w:rPr>
            </w:pPr>
          </w:p>
          <w:p>
            <w:pPr>
              <w:pStyle w:val="11"/>
              <w:ind w:left="190" w:right="177"/>
              <w:jc w:val="center"/>
              <w:rPr>
                <w:sz w:val="44"/>
              </w:rPr>
            </w:pPr>
            <w:r>
              <w:rPr>
                <w:sz w:val="44"/>
              </w:rPr>
              <w:t>法兰垫片</w:t>
            </w:r>
          </w:p>
        </w:tc>
        <w:tc>
          <w:tcPr>
            <w:tcW w:w="3067" w:type="dxa"/>
          </w:tcPr>
          <w:p>
            <w:pPr>
              <w:pStyle w:val="11"/>
              <w:spacing w:before="11"/>
              <w:rPr>
                <w:rFonts w:ascii="PMingLiU"/>
                <w:sz w:val="31"/>
              </w:rPr>
            </w:pPr>
          </w:p>
          <w:p>
            <w:pPr>
              <w:pStyle w:val="11"/>
              <w:spacing w:line="417" w:lineRule="auto"/>
              <w:ind w:left="1396" w:right="79" w:hanging="1224"/>
              <w:rPr>
                <w:sz w:val="28"/>
              </w:rPr>
            </w:pPr>
            <w:r>
              <w:rPr>
                <w:sz w:val="28"/>
              </w:rPr>
              <w:t>防腐耐高压垫片及法兰盘</w:t>
            </w:r>
          </w:p>
        </w:tc>
        <w:tc>
          <w:tcPr>
            <w:tcW w:w="3726" w:type="dxa"/>
          </w:tcPr>
          <w:p>
            <w:pPr>
              <w:pStyle w:val="11"/>
              <w:spacing w:before="10"/>
              <w:rPr>
                <w:rFonts w:ascii="PMingLiU"/>
                <w:sz w:val="3"/>
              </w:rPr>
            </w:pPr>
          </w:p>
          <w:p>
            <w:pPr>
              <w:pStyle w:val="11"/>
              <w:ind w:left="122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209165" cy="1118235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311" cy="111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4" w:hRule="atLeast"/>
        </w:trPr>
        <w:tc>
          <w:tcPr>
            <w:tcW w:w="3061" w:type="dxa"/>
          </w:tcPr>
          <w:p>
            <w:pPr>
              <w:pStyle w:val="11"/>
              <w:spacing w:before="13"/>
              <w:rPr>
                <w:rFonts w:ascii="PMingLiU"/>
                <w:sz w:val="57"/>
              </w:rPr>
            </w:pPr>
          </w:p>
          <w:p>
            <w:pPr>
              <w:pStyle w:val="11"/>
              <w:ind w:left="188" w:right="180"/>
              <w:jc w:val="center"/>
              <w:rPr>
                <w:sz w:val="44"/>
              </w:rPr>
            </w:pPr>
            <w:r>
              <w:rPr>
                <w:sz w:val="44"/>
              </w:rPr>
              <w:t>踏脚板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spacing w:before="209" w:line="417" w:lineRule="auto"/>
              <w:ind w:left="988" w:right="6" w:hanging="881"/>
              <w:rPr>
                <w:sz w:val="28"/>
              </w:rPr>
            </w:pPr>
            <w:r>
              <w:rPr>
                <w:spacing w:val="-17"/>
                <w:sz w:val="28"/>
              </w:rPr>
              <w:t xml:space="preserve">加厚加大框架式踏脚板， </w:t>
            </w:r>
            <w:r>
              <w:rPr>
                <w:spacing w:val="-8"/>
                <w:sz w:val="28"/>
              </w:rPr>
              <w:t>安全方便</w:t>
            </w:r>
          </w:p>
        </w:tc>
        <w:tc>
          <w:tcPr>
            <w:tcW w:w="3726" w:type="dxa"/>
          </w:tcPr>
          <w:p>
            <w:pPr>
              <w:pStyle w:val="11"/>
              <w:rPr>
                <w:rFonts w:ascii="PMingLiU"/>
                <w:sz w:val="2"/>
              </w:rPr>
            </w:pPr>
          </w:p>
          <w:p>
            <w:pPr>
              <w:pStyle w:val="11"/>
              <w:ind w:left="137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200275" cy="1351915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528" cy="135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7" w:hRule="atLeast"/>
        </w:trPr>
        <w:tc>
          <w:tcPr>
            <w:tcW w:w="3061" w:type="dxa"/>
          </w:tcPr>
          <w:p>
            <w:pPr>
              <w:pStyle w:val="11"/>
              <w:rPr>
                <w:rFonts w:ascii="PMingLiU"/>
                <w:sz w:val="44"/>
              </w:rPr>
            </w:pPr>
          </w:p>
          <w:p>
            <w:pPr>
              <w:pStyle w:val="11"/>
              <w:spacing w:before="3"/>
              <w:rPr>
                <w:rFonts w:ascii="PMingLiU"/>
                <w:sz w:val="36"/>
              </w:rPr>
            </w:pPr>
          </w:p>
          <w:p>
            <w:pPr>
              <w:pStyle w:val="11"/>
              <w:ind w:left="188" w:right="180"/>
              <w:jc w:val="center"/>
              <w:rPr>
                <w:sz w:val="44"/>
              </w:rPr>
            </w:pPr>
            <w:r>
              <w:rPr>
                <w:sz w:val="44"/>
              </w:rPr>
              <w:t>侧防护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spacing w:before="3"/>
              <w:rPr>
                <w:rFonts w:ascii="PMingLiU"/>
                <w:sz w:val="37"/>
              </w:rPr>
            </w:pPr>
          </w:p>
          <w:p>
            <w:pPr>
              <w:pStyle w:val="11"/>
              <w:spacing w:line="417" w:lineRule="auto"/>
              <w:ind w:left="1130" w:right="83" w:hanging="1023"/>
              <w:rPr>
                <w:sz w:val="28"/>
              </w:rPr>
            </w:pPr>
            <w:r>
              <w:rPr>
                <w:spacing w:val="-23"/>
                <w:sz w:val="28"/>
              </w:rPr>
              <w:t>螺栓连接，方便拆卸，维</w:t>
            </w:r>
            <w:r>
              <w:rPr>
                <w:spacing w:val="-10"/>
                <w:sz w:val="28"/>
              </w:rPr>
              <w:t>修方便</w:t>
            </w:r>
          </w:p>
        </w:tc>
        <w:tc>
          <w:tcPr>
            <w:tcW w:w="3726" w:type="dxa"/>
          </w:tcPr>
          <w:p>
            <w:pPr>
              <w:pStyle w:val="11"/>
              <w:spacing w:before="1"/>
              <w:rPr>
                <w:rFonts w:ascii="PMingLiU"/>
                <w:sz w:val="7"/>
              </w:rPr>
            </w:pPr>
          </w:p>
          <w:p>
            <w:pPr>
              <w:pStyle w:val="11"/>
              <w:ind w:left="137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195195" cy="1647825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69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4" w:hRule="atLeast"/>
        </w:trPr>
        <w:tc>
          <w:tcPr>
            <w:tcW w:w="3061" w:type="dxa"/>
          </w:tcPr>
          <w:p>
            <w:pPr>
              <w:pStyle w:val="11"/>
              <w:spacing w:before="12"/>
              <w:rPr>
                <w:rFonts w:ascii="PMingLiU"/>
                <w:sz w:val="57"/>
              </w:rPr>
            </w:pPr>
          </w:p>
          <w:p>
            <w:pPr>
              <w:pStyle w:val="11"/>
              <w:ind w:left="190" w:right="180"/>
              <w:jc w:val="center"/>
              <w:rPr>
                <w:sz w:val="44"/>
              </w:rPr>
            </w:pPr>
            <w:r>
              <w:rPr>
                <w:sz w:val="44"/>
              </w:rPr>
              <w:t>副梁</w:t>
            </w:r>
          </w:p>
        </w:tc>
        <w:tc>
          <w:tcPr>
            <w:tcW w:w="3067" w:type="dxa"/>
          </w:tcPr>
          <w:p>
            <w:pPr>
              <w:pStyle w:val="11"/>
              <w:rPr>
                <w:rFonts w:ascii="PMingLiU"/>
                <w:sz w:val="28"/>
              </w:rPr>
            </w:pPr>
          </w:p>
          <w:p>
            <w:pPr>
              <w:pStyle w:val="11"/>
              <w:spacing w:before="210" w:line="417" w:lineRule="auto"/>
              <w:ind w:left="861" w:right="83" w:hanging="754"/>
              <w:rPr>
                <w:sz w:val="28"/>
              </w:rPr>
            </w:pPr>
            <w:r>
              <w:rPr>
                <w:spacing w:val="-23"/>
                <w:sz w:val="28"/>
              </w:rPr>
              <w:t>副梁包边，保护副梁和防</w:t>
            </w:r>
            <w:r>
              <w:rPr>
                <w:spacing w:val="-12"/>
                <w:sz w:val="28"/>
              </w:rPr>
              <w:t>止底板撕裂</w:t>
            </w:r>
          </w:p>
        </w:tc>
        <w:tc>
          <w:tcPr>
            <w:tcW w:w="3726" w:type="dxa"/>
          </w:tcPr>
          <w:p>
            <w:pPr>
              <w:pStyle w:val="11"/>
              <w:ind w:left="108"/>
              <w:rPr>
                <w:rFonts w:ascii="PMingLiU"/>
                <w:sz w:val="20"/>
              </w:rPr>
            </w:pPr>
            <w:r>
              <w:rPr>
                <w:rFonts w:ascii="PMingLiU"/>
                <w:sz w:val="20"/>
              </w:rPr>
              <w:drawing>
                <wp:inline distT="0" distB="0" distL="0" distR="0">
                  <wp:extent cx="2191385" cy="1350645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973" cy="135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rPr>
          <w:rFonts w:ascii="PMingLiU"/>
          <w:sz w:val="20"/>
        </w:rPr>
        <w:sectPr>
          <w:pgSz w:w="11910" w:h="16840"/>
          <w:pgMar w:top="2020" w:right="100" w:bottom="280" w:left="140" w:header="871" w:footer="0" w:gutter="0"/>
          <w:cols w:space="720" w:num="1"/>
        </w:sectPr>
      </w:pPr>
    </w:p>
    <w:p>
      <w:pPr>
        <w:pStyle w:val="5"/>
        <w:rPr>
          <w:rFonts w:ascii="PMingLiU"/>
          <w:sz w:val="20"/>
        </w:rPr>
      </w:pPr>
    </w:p>
    <w:p>
      <w:pPr>
        <w:pStyle w:val="5"/>
        <w:rPr>
          <w:rFonts w:ascii="PMingLiU"/>
          <w:sz w:val="20"/>
        </w:rPr>
      </w:pPr>
    </w:p>
    <w:p>
      <w:pPr>
        <w:pStyle w:val="5"/>
        <w:spacing w:before="5"/>
        <w:rPr>
          <w:rFonts w:ascii="PMingLiU"/>
          <w:sz w:val="26"/>
        </w:rPr>
      </w:pPr>
    </w:p>
    <w:p>
      <w:pPr>
        <w:spacing w:before="62"/>
        <w:ind w:left="0" w:right="35" w:firstLine="0"/>
        <w:jc w:val="center"/>
        <w:rPr>
          <w:rFonts w:hint="eastAsia" w:ascii="PMingLiU" w:eastAsia="PMingLiU"/>
          <w:sz w:val="52"/>
        </w:rPr>
      </w:pPr>
      <w:r>
        <w:rPr>
          <w:rFonts w:hint="eastAsia" w:ascii="PMingLiU" w:eastAsia="PMingLiU"/>
          <w:color w:val="FF0000"/>
          <w:sz w:val="52"/>
        </w:rPr>
        <w:t>七．加装配置（非标配）</w:t>
      </w:r>
    </w:p>
    <w:p>
      <w:pPr>
        <w:pStyle w:val="3"/>
        <w:tabs>
          <w:tab w:val="left" w:pos="7832"/>
        </w:tabs>
        <w:spacing w:before="160"/>
      </w:pPr>
      <w:r>
        <w:t>电动炮</w:t>
      </w:r>
      <w:r>
        <w:tab/>
      </w:r>
      <w:r>
        <w:t>倒车影像</w:t>
      </w:r>
    </w:p>
    <w:p>
      <w:pPr>
        <w:tabs>
          <w:tab w:val="left" w:pos="6318"/>
        </w:tabs>
        <w:spacing w:line="240" w:lineRule="auto"/>
        <w:ind w:left="738" w:right="0" w:firstLine="0"/>
        <w:rPr>
          <w:rFonts w:ascii="PMingLiU"/>
          <w:sz w:val="20"/>
        </w:rPr>
      </w:pPr>
      <w:r>
        <w:rPr>
          <w:rFonts w:ascii="PMingLiU"/>
          <w:sz w:val="20"/>
        </w:rPr>
        <w:drawing>
          <wp:inline distT="0" distB="0" distL="0" distR="0">
            <wp:extent cx="2890520" cy="207581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10" cy="20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sz w:val="20"/>
        </w:rPr>
        <w:tab/>
      </w:r>
      <w:r>
        <w:rPr>
          <w:rFonts w:ascii="PMingLiU"/>
          <w:position w:val="4"/>
          <w:sz w:val="20"/>
        </w:rPr>
        <w:drawing>
          <wp:inline distT="0" distB="0" distL="0" distR="0">
            <wp:extent cx="2791460" cy="204279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512" cy="204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7832"/>
        </w:tabs>
        <w:spacing w:after="9"/>
      </w:pPr>
      <w:r>
        <w:t>气缸</w:t>
      </w:r>
      <w:r>
        <w:tab/>
      </w:r>
      <w:r>
        <w:t>气动阀</w:t>
      </w:r>
    </w:p>
    <w:p>
      <w:pPr>
        <w:tabs>
          <w:tab w:val="left" w:pos="6335"/>
        </w:tabs>
        <w:spacing w:line="240" w:lineRule="auto"/>
        <w:ind w:left="769" w:right="0" w:firstLine="0"/>
        <w:rPr>
          <w:rFonts w:ascii="PMingLiU"/>
          <w:sz w:val="20"/>
        </w:rPr>
      </w:pPr>
      <w:r>
        <w:rPr>
          <w:rFonts w:ascii="PMingLiU"/>
          <w:sz w:val="20"/>
        </w:rPr>
        <w:drawing>
          <wp:inline distT="0" distB="0" distL="0" distR="0">
            <wp:extent cx="2863215" cy="197675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542" cy="19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sz w:val="20"/>
        </w:rPr>
        <w:tab/>
      </w:r>
      <w:r>
        <w:rPr>
          <w:rFonts w:ascii="PMingLiU"/>
          <w:position w:val="8"/>
          <w:sz w:val="20"/>
        </w:rPr>
        <w:drawing>
          <wp:inline distT="0" distB="0" distL="0" distR="0">
            <wp:extent cx="2797175" cy="191135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652" cy="191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7832"/>
        </w:tabs>
        <w:spacing w:before="117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586740</wp:posOffset>
            </wp:positionH>
            <wp:positionV relativeFrom="paragraph">
              <wp:posOffset>487680</wp:posOffset>
            </wp:positionV>
            <wp:extent cx="2852420" cy="197739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528" cy="197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4096385</wp:posOffset>
            </wp:positionH>
            <wp:positionV relativeFrom="paragraph">
              <wp:posOffset>455930</wp:posOffset>
            </wp:positionV>
            <wp:extent cx="2856865" cy="2031365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16" cy="2031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工具箱</w:t>
      </w:r>
      <w:r>
        <w:tab/>
      </w:r>
      <w:r>
        <w:t>箭头灯</w:t>
      </w:r>
    </w:p>
    <w:p>
      <w:pPr>
        <w:spacing w:after="0"/>
        <w:sectPr>
          <w:headerReference r:id="rId7" w:type="default"/>
          <w:pgSz w:w="11910" w:h="16840"/>
          <w:pgMar w:top="2080" w:right="100" w:bottom="280" w:left="140" w:header="871" w:footer="0" w:gutter="0"/>
          <w:cols w:space="720" w:num="1"/>
        </w:sectPr>
      </w:pPr>
    </w:p>
    <w:p>
      <w:pPr>
        <w:pStyle w:val="5"/>
        <w:rPr>
          <w:rFonts w:ascii="PMingLiU"/>
          <w:sz w:val="20"/>
        </w:rPr>
      </w:pPr>
    </w:p>
    <w:p>
      <w:pPr>
        <w:pStyle w:val="5"/>
        <w:rPr>
          <w:rFonts w:ascii="PMingLiU"/>
          <w:sz w:val="24"/>
        </w:rPr>
      </w:pPr>
    </w:p>
    <w:p>
      <w:pPr>
        <w:spacing w:before="63"/>
        <w:ind w:left="0" w:right="37" w:firstLine="0"/>
        <w:jc w:val="center"/>
        <w:rPr>
          <w:rFonts w:hint="eastAsia" w:ascii="PMingLiU" w:eastAsia="PMingLiU"/>
          <w:sz w:val="52"/>
        </w:rPr>
      </w:pPr>
      <w:bookmarkStart w:id="0" w:name="_GoBack"/>
      <w:r>
        <w:pict>
          <v:group id="_x0000_s1029" o:spid="_x0000_s1029" o:spt="203" style="position:absolute;left:0pt;margin-left:10.9pt;margin-top:43.85pt;height:574.95pt;width:573.6pt;mso-position-horizontal-relative:page;mso-wrap-distance-bottom:0pt;mso-wrap-distance-top:0pt;z-index:-251652096;mso-width-relative:page;mso-height-relative:page;" coordorigin="218,877" coordsize="11472,11499">
            <o:lock v:ext="edit"/>
            <v:shape id="_x0000_s1030" o:spid="_x0000_s1030" o:spt="75" type="#_x0000_t75" style="position:absolute;left:249;top:894;height:3785;width:5676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31" o:spid="_x0000_s1031" o:spt="75" type="#_x0000_t75" style="position:absolute;left:5978;top:877;height:3797;width:5693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32" o:spid="_x0000_s1032" o:spt="75" type="#_x0000_t75" style="position:absolute;left:232;top:4719;height:3795;width:5691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33" o:spid="_x0000_s1033" o:spt="75" type="#_x0000_t75" style="position:absolute;left:5992;top:4714;height:3795;width:5691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34" o:spid="_x0000_s1034" o:spt="75" type="#_x0000_t75" style="position:absolute;left:218;top:8562;height:3800;width:5696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35" o:spid="_x0000_s1035" o:spt="75" type="#_x0000_t75" style="position:absolute;left:5995;top:8576;height:3800;width:5696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w10:wrap type="topAndBottom"/>
          </v:group>
        </w:pict>
      </w:r>
      <w:bookmarkEnd w:id="0"/>
      <w:r>
        <w:rPr>
          <w:rFonts w:hint="eastAsia" w:ascii="PMingLiU" w:eastAsia="PMingLiU"/>
          <w:color w:val="FF0000"/>
          <w:sz w:val="52"/>
        </w:rPr>
        <w:t>八．整车图片</w:t>
      </w:r>
    </w:p>
    <w:sectPr>
      <w:pgSz w:w="11910" w:h="16840"/>
      <w:pgMar w:top="2080" w:right="100" w:bottom="280" w:left="140" w:header="871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line id="_x0000_s2049" o:spid="_x0000_s2049" o:spt="20" style="position:absolute;left:0pt;margin-left:50.25pt;margin-top:102.95pt;height:0pt;width:493.3pt;mso-position-horizontal-relative:page;mso-position-vertical-relative:page;z-index:-251655168;mso-width-relative:page;mso-height-relative:page;" stroked="t" coordsize="21600,21600">
          <v:path arrowok="t"/>
          <v:fill focussize="0,0"/>
          <v:stroke weight="2.88pt" color="#000000"/>
          <v:imagedata o:title=""/>
          <o:lock v:ext="edit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line id="_x0000_s2050" o:spid="_x0000_s2050" o:spt="20" style="position:absolute;left:0pt;margin-left:50.25pt;margin-top:102.95pt;height:0pt;width:493.3pt;mso-position-horizontal-relative:page;mso-position-vertical-relative:page;z-index:-251654144;mso-width-relative:page;mso-height-relative:page;" stroked="t" coordsize="21600,21600">
          <v:path arrowok="t"/>
          <v:fill focussize="0,0"/>
          <v:stroke weight="2.88pt"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316" w:hanging="324"/>
        <w:jc w:val="left"/>
      </w:pPr>
      <w:rPr>
        <w:rFonts w:hint="default" w:ascii="宋体" w:hAnsi="宋体" w:eastAsia="宋体" w:cs="宋体"/>
        <w:b/>
        <w:bCs/>
        <w:spacing w:val="1"/>
        <w:w w:val="98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83" w:hanging="32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647" w:hanging="32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811" w:hanging="32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975" w:hanging="32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139" w:hanging="32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2303" w:hanging="32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2467" w:hanging="32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2631" w:hanging="324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MDE2ZDY2YjY0NjZiYWNjYWIwOWI0Y2RiNGNiMjVmOWEifQ=="/>
  </w:docVars>
  <w:rsids>
    <w:rsidRoot w:val="00000000"/>
    <w:rsid w:val="03A37433"/>
    <w:rsid w:val="23D97388"/>
    <w:rsid w:val="3CE84C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62"/>
      <w:ind w:right="35"/>
      <w:jc w:val="center"/>
      <w:outlineLvl w:val="1"/>
    </w:pPr>
    <w:rPr>
      <w:rFonts w:ascii="PMingLiU" w:hAnsi="PMingLiU" w:eastAsia="PMingLiU" w:cs="PMingLiU"/>
      <w:sz w:val="52"/>
      <w:szCs w:val="5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2432"/>
      <w:outlineLvl w:val="2"/>
    </w:pPr>
    <w:rPr>
      <w:rFonts w:ascii="PMingLiU" w:hAnsi="PMingLiU" w:eastAsia="PMingLiU" w:cs="PMingLiU"/>
      <w:sz w:val="36"/>
      <w:szCs w:val="36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1"/>
      <w:ind w:left="1316" w:hanging="325"/>
      <w:outlineLvl w:val="3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1"/>
      <w:ind w:left="1316" w:hanging="325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endnotes" Target="endnotes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1226</Words>
  <Characters>1364</Characters>
  <TotalTime>4</TotalTime>
  <ScaleCrop>false</ScaleCrop>
  <LinksUpToDate>false</LinksUpToDate>
  <CharactersWithSpaces>1417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2022-12-04T02:50:00Z</dcterms:created>
  <dc:creator>Administrator</dc:creator>
  <cp:lastModifiedBy>AA专用汽车服务黄忠涛</cp:lastModifiedBy>
  <dcterms:modified xsi:type="dcterms:W3CDTF">2022-12-04T02:55:42Z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LastSaved">
    <vt:filetime>2022-12-04T00:00:00Z</vt:filetime>
  </property>
  <property fmtid="{D5CDD505-2E9C-101B-9397-08002B2CF9AE}" pid="4" name="KSOProductBuildVer">
    <vt:lpwstr>2052-11.1.0.12763</vt:lpwstr>
  </property>
  <property fmtid="{D5CDD505-2E9C-101B-9397-08002B2CF9AE}" pid="5" name="ICV">
    <vt:lpwstr>6E849827708149B3A0DB6DF3D99BAD1F</vt:lpwstr>
  </property>
</Properties>
</file>