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 w:line="435" w:lineRule="atLeast"/>
        <w:ind w:left="0" w:right="0" w:firstLine="0"/>
        <w:jc w:val="both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  <w:t>山东普洛得邦六氟化硫项目净化工程招标公告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招标范围：</w:t>
      </w:r>
      <w:r>
        <w:rPr>
          <w:sz w:val="27"/>
          <w:szCs w:val="27"/>
        </w:rPr>
        <w:t>土建工程：净化门、窗等；洁净区净化地面（原有混凝土地面以上部分）；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7"/>
          <w:szCs w:val="27"/>
        </w:rPr>
        <w:t>装饰工程：彩钢板吊顶；彩钢板墙面；</w:t>
      </w: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10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7"/>
          <w:szCs w:val="27"/>
        </w:rPr>
        <w:t>安装工程：洁净区空调暖通系统，洁净区照明系统（含指示灯）、室内给排水系统。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18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25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张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18156822990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ascii="Verdana" w:hAnsi="Verdana" w:eastAsia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  <w:bookmarkStart w:id="0" w:name="_GoBack"/>
      <w:bookmarkEnd w:id="0"/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172EAA6-DFFC-48B2-9A70-6EBCD7E0226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88D6FC0E-AC16-440E-93E3-A55519109C6F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1DD508B7-4AFA-4C47-9463-E097BB189270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31EA929C-98E0-49A9-B33F-EA145586EA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793AD227-40D5-4CA2-B04A-F0CF46B97D5C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6" w:fontKey="{974B0260-D6AB-463E-8F7C-C7C09ABCF478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E172E0B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2FA95CDE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23C5D30"/>
    <w:rsid w:val="42C079B2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EDE60D1"/>
    <w:rsid w:val="4F9455AF"/>
    <w:rsid w:val="4FA74057"/>
    <w:rsid w:val="540F7FA9"/>
    <w:rsid w:val="56247D09"/>
    <w:rsid w:val="56274657"/>
    <w:rsid w:val="56F457D8"/>
    <w:rsid w:val="582761D4"/>
    <w:rsid w:val="5A254A7D"/>
    <w:rsid w:val="5B9F7BA4"/>
    <w:rsid w:val="5D6B59BA"/>
    <w:rsid w:val="5E31378D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AD87ECA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3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bidcenter055</cp:lastModifiedBy>
  <cp:lastPrinted>2012-06-20T08:31:00Z</cp:lastPrinted>
  <dcterms:modified xsi:type="dcterms:W3CDTF">2021-03-19T03:11:49Z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